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hdphoto2.wdp" ContentType="image/vnd.ms-photo"/>
  <Override PartName="/word/media/hdphoto1.wdp" ContentType="image/vnd.ms-photo"/>
  <Override PartName="/word/media/image2.png" ContentType="image/png"/>
  <Override PartName="/word/media/image3.jpeg" ContentType="image/jpeg"/>
  <Override PartName="/word/media/image4.wmf" ContentType="image/x-wmf"/>
  <Override PartName="/word/media/image11.png" ContentType="image/png"/>
  <Override PartName="/word/media/image5.jpeg" ContentType="image/jpe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2.jpeg" ContentType="image/jpeg"/>
  <Override PartName="/word/media/image13.jpeg" ContentType="image/jpeg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Nová patentovaná technologie mění zažité způsoby výroby palet</w:t>
      </w:r>
    </w:p>
    <w:p>
      <w:pPr>
        <w:pStyle w:val="Normal"/>
        <w:rPr/>
      </w:pPr>
      <w:r>
        <w:rPr/>
      </w:r>
    </w:p>
    <w:p>
      <w:pPr>
        <w:pStyle w:val="Normal"/>
        <w:ind w:firstLine="708"/>
        <w:jc w:val="both"/>
        <w:rPr/>
      </w:pPr>
      <w:r>
        <w:rPr/>
        <w:t xml:space="preserve">Firma Störi Mantel s.r.o. získala </w:t>
      </w:r>
      <w:r>
        <w:rPr>
          <w:b/>
          <w:bCs/>
        </w:rPr>
        <w:t>patent na unikátní technologii</w:t>
      </w:r>
      <w:r>
        <w:rPr/>
        <w:t xml:space="preserve">, která zásadně </w:t>
      </w:r>
      <w:r>
        <w:rPr>
          <w:b/>
          <w:bCs/>
        </w:rPr>
        <w:t>snižuje</w:t>
      </w:r>
      <w:r>
        <w:rPr/>
        <w:t xml:space="preserve"> spotřebu energie při sbíjení palet.</w:t>
      </w:r>
      <w:r>
        <w:rPr>
          <w:rFonts w:eastAsia="Times New Roman" w:cs="Times New Roman" w:ascii="Times New Roman" w:hAnsi="Times New Roman"/>
          <w:color w:val="333333"/>
          <w:sz w:val="24"/>
          <w:szCs w:val="24"/>
          <w:lang w:eastAsia="cs-CZ"/>
        </w:rPr>
        <w:t xml:space="preserve"> </w:t>
      </w:r>
      <w:r>
        <w:rPr/>
        <w:t>Dovolujeme si vás s potěšením informovat, že výsledky našeho vývoje a výzkumu v oblasti  generace </w:t>
      </w:r>
      <w:hyperlink r:id="rId2" w:tgtFrame="_blank">
        <w:r>
          <w:rPr/>
          <w:t>sbíjecích automatů</w:t>
        </w:r>
      </w:hyperlink>
      <w:r>
        <w:rPr/>
        <w:t> na výrobu palet byly uznány i Evropským patentovým úřadem, který udělil dne 08.01. 2020 patent č. EP2563557 na naše výrobky</w:t>
      </w:r>
      <w:r>
        <w:rPr>
          <w:b/>
          <w:bCs/>
        </w:rPr>
        <w:t>: </w:t>
      </w:r>
      <w:hyperlink r:id="rId3" w:tgtFrame="_blank">
        <w:r>
          <w:rPr>
            <w:b/>
            <w:bCs/>
          </w:rPr>
          <w:t>Sbíjecí automat</w:t>
        </w:r>
      </w:hyperlink>
      <w:r>
        <w:rPr/>
        <w:t>.</w:t>
      </w:r>
    </w:p>
    <w:p>
      <w:pPr>
        <w:pStyle w:val="Normal"/>
        <w:ind w:firstLine="708"/>
        <w:jc w:val="both"/>
        <w:rPr>
          <w:rFonts w:cs="Calibri" w:cstheme="minorHAnsi"/>
          <w:color w:val="000000" w:themeColor="text1"/>
          <w:shd w:fill="FFFFFF" w:val="clear"/>
        </w:rPr>
      </w:pPr>
      <w:r>
        <w:rPr>
          <w:rFonts w:cs="Calibri" w:cstheme="minorHAnsi"/>
          <w:b/>
          <w:bCs/>
        </w:rPr>
        <w:t>Europalety</w:t>
      </w:r>
      <w:r>
        <w:rPr>
          <w:rFonts w:cs="Calibri" w:cstheme="minorHAnsi"/>
        </w:rPr>
        <w:t xml:space="preserve"> jsou v současné době nejpoužívanějším typem vratných přepravních palet v Evropě.  Jejich </w:t>
      </w:r>
      <w:r>
        <w:rPr>
          <w:rFonts w:cs="Calibri" w:cstheme="minorHAnsi"/>
          <w:b/>
          <w:bCs/>
        </w:rPr>
        <w:t xml:space="preserve">využitelnost </w:t>
      </w:r>
      <w:r>
        <w:rPr>
          <w:rFonts w:cs="Calibri" w:cstheme="minorHAnsi"/>
        </w:rPr>
        <w:t xml:space="preserve">při přepravě zboží a materiálů je doslova nevyčerpatelná. </w:t>
      </w:r>
      <w:r>
        <w:rPr/>
        <w:t xml:space="preserve">V poslední době se téma výroby Europalet dostává stále více do popředí a začíná se diskutovat i v kruzích mimo dřevařský obor. Tento trend však není překvapivý. Dostupné statistiky ve výrobě Europalet z posledních let totiž ukazují každoroční </w:t>
      </w:r>
      <w:r>
        <w:rPr>
          <w:b/>
          <w:bCs/>
          <w:color w:val="000000" w:themeColor="text1"/>
        </w:rPr>
        <w:t>nárust</w:t>
      </w:r>
      <w:r>
        <w:rPr/>
        <w:t xml:space="preserve"> výroby těchto unikátních prostředků na přepravu, které sjednotili trh. </w:t>
      </w:r>
      <w:r>
        <w:rPr>
          <w:rFonts w:cs="Calibri" w:cstheme="minorHAnsi"/>
          <w:color w:val="000000" w:themeColor="text1"/>
        </w:rPr>
        <w:t xml:space="preserve">Výroba Europalet navíc podléhá </w:t>
      </w:r>
      <w:r>
        <w:rPr>
          <w:rFonts w:cs="Calibri" w:cstheme="minorHAnsi"/>
          <w:b/>
          <w:bCs/>
          <w:color w:val="000000" w:themeColor="text1"/>
        </w:rPr>
        <w:t>přísným normám</w:t>
      </w:r>
      <w:r>
        <w:rPr>
          <w:rFonts w:cs="Calibri" w:cstheme="minorHAnsi"/>
          <w:color w:val="000000" w:themeColor="text1"/>
        </w:rPr>
        <w:t xml:space="preserve">, </w:t>
      </w:r>
      <w:r>
        <w:rPr>
          <w:rFonts w:cs="Calibri" w:cstheme="minorHAnsi"/>
          <w:color w:val="000000" w:themeColor="text1"/>
          <w:shd w:fill="FFFFFF" w:val="clear"/>
        </w:rPr>
        <w:t xml:space="preserve">které znamenají záruku nezpochybnitelné </w:t>
      </w:r>
      <w:r>
        <w:rPr>
          <w:rFonts w:cs="Calibri" w:cstheme="minorHAnsi"/>
          <w:b/>
          <w:bCs/>
          <w:color w:val="000000" w:themeColor="text1"/>
          <w:shd w:fill="FFFFFF" w:val="clear"/>
        </w:rPr>
        <w:t>kvality.</w:t>
      </w:r>
    </w:p>
    <w:p>
      <w:pPr>
        <w:pStyle w:val="Normal"/>
        <w:ind w:firstLine="708"/>
        <w:jc w:val="both"/>
        <w:rPr>
          <w:rFonts w:cs="Calibri" w:cstheme="minorHAnsi"/>
          <w:color w:val="000000" w:themeColor="text1"/>
          <w:shd w:fill="FFFFFF" w:val="clear"/>
        </w:rPr>
      </w:pPr>
      <w:r>
        <w:rPr>
          <w:rFonts w:cs="Calibri" w:cstheme="minorHAnsi"/>
          <w:color w:val="000000" w:themeColor="text1"/>
          <w:shd w:fill="FFFFFF" w:val="clear"/>
        </w:rPr>
        <w:t xml:space="preserve">V následujícím odstavci představujeme </w:t>
      </w:r>
      <w:r>
        <w:rPr>
          <w:rFonts w:cs="Calibri" w:cstheme="minorHAnsi"/>
          <w:b/>
          <w:bCs/>
          <w:color w:val="000000" w:themeColor="text1"/>
          <w:shd w:fill="FFFFFF" w:val="clear"/>
        </w:rPr>
        <w:t>možnosti sbíjení dalších typů</w:t>
      </w:r>
      <w:r>
        <w:rPr>
          <w:rFonts w:cs="Calibri" w:cstheme="minorHAnsi"/>
          <w:color w:val="000000" w:themeColor="text1"/>
          <w:shd w:fill="FFFFFF" w:val="clear"/>
        </w:rPr>
        <w:t xml:space="preserve"> a rozměrů standardizovaných i nestandardizovaných typů palet, a to jak </w:t>
      </w:r>
      <w:r>
        <w:rPr>
          <w:rFonts w:cs="Calibri" w:cstheme="minorHAnsi"/>
          <w:b/>
          <w:bCs/>
          <w:color w:val="000000" w:themeColor="text1"/>
          <w:shd w:fill="FFFFFF" w:val="clear"/>
        </w:rPr>
        <w:t>čtyřcestných</w:t>
      </w:r>
      <w:r>
        <w:rPr>
          <w:rFonts w:cs="Calibri" w:cstheme="minorHAnsi"/>
          <w:color w:val="000000" w:themeColor="text1"/>
          <w:shd w:fill="FFFFFF" w:val="clear"/>
        </w:rPr>
        <w:t xml:space="preserve">, tak i </w:t>
      </w:r>
      <w:r>
        <w:rPr>
          <w:rFonts w:cs="Calibri" w:cstheme="minorHAnsi"/>
          <w:b/>
          <w:bCs/>
          <w:color w:val="000000" w:themeColor="text1"/>
          <w:shd w:fill="FFFFFF" w:val="clear"/>
        </w:rPr>
        <w:t>dvoucestných</w:t>
      </w:r>
      <w:r>
        <w:rPr>
          <w:rFonts w:cs="Calibri" w:cstheme="minorHAnsi"/>
          <w:color w:val="000000" w:themeColor="text1"/>
          <w:shd w:fill="FFFFFF" w:val="clear"/>
        </w:rPr>
        <w:t>.</w:t>
      </w:r>
    </w:p>
    <w:p>
      <w:pPr>
        <w:pStyle w:val="Normal"/>
        <w:ind w:firstLine="708"/>
        <w:jc w:val="both"/>
        <w:rPr/>
      </w:pPr>
      <w:r>
        <mc:AlternateContent>
          <mc:Choice Requires="wps">
            <w:drawing>
              <wp:anchor behindDoc="1" distT="0" distB="0" distL="114300" distR="114300" simplePos="0" locked="0" layoutInCell="0" allowOverlap="1" relativeHeight="9" wp14:anchorId="6972F4AB">
                <wp:simplePos x="0" y="0"/>
                <wp:positionH relativeFrom="column">
                  <wp:posOffset>2508250</wp:posOffset>
                </wp:positionH>
                <wp:positionV relativeFrom="paragraph">
                  <wp:posOffset>415925</wp:posOffset>
                </wp:positionV>
                <wp:extent cx="2974975" cy="1768475"/>
                <wp:effectExtent l="0" t="0" r="0" b="3810"/>
                <wp:wrapTight wrapText="bothSides">
                  <wp:wrapPolygon edited="0">
                    <wp:start x="0" y="0"/>
                    <wp:lineTo x="0" y="21414"/>
                    <wp:lineTo x="21443" y="21414"/>
                    <wp:lineTo x="21443" y="0"/>
                    <wp:lineTo x="0" y="0"/>
                  </wp:wrapPolygon>
                </wp:wrapTight>
                <wp:docPr id="1" name="Obrázek 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4" descr=""/>
                        <pic:cNvPicPr/>
                      </pic:nvPicPr>
                      <pic:blipFill>
                        <a:blip r:embed="rId4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5"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2974320" cy="17679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ázek 4" stroked="f" style="position:absolute;margin-left:197.5pt;margin-top:32.75pt;width:234.15pt;height:139.15pt" wp14:anchorId="6972F4AB" type="shapetype_75">
                <v:imagedata r:id="rId6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/>
        <w:t xml:space="preserve">Patentovaný systém s využitím </w:t>
      </w:r>
      <w:r>
        <w:rPr>
          <w:b/>
          <w:bCs/>
        </w:rPr>
        <w:t>elektro-mechanického</w:t>
      </w:r>
      <w:r>
        <w:rPr/>
        <w:t xml:space="preserve"> systému ke sbíjení palet od Česko-Švýcarské firmy Störi Mantel je dalším příspěvkem pro </w:t>
      </w:r>
      <w:r>
        <w:rPr>
          <w:b/>
          <w:bCs/>
        </w:rPr>
        <w:t>moderní a praktické</w:t>
      </w:r>
      <w:r>
        <w:rPr/>
        <w:t xml:space="preserve"> sbíjení palet. Díky speciálnímu elektro-mechanickému pohonu je odstraněn </w:t>
      </w:r>
      <w:r>
        <w:rPr>
          <w:b/>
          <w:bCs/>
        </w:rPr>
        <w:t>hydraulický agregát</w:t>
      </w:r>
      <w:r>
        <w:rPr/>
        <w:t xml:space="preserve"> a je dosahováno </w:t>
      </w:r>
      <w:r>
        <w:rPr>
          <w:b/>
          <w:bCs/>
        </w:rPr>
        <w:t>nižší</w:t>
      </w:r>
      <w:r>
        <w:rPr/>
        <w:t xml:space="preserve"> energetické náročnosti. To je dosaženo důmyslným systémem, kdy se servomotory roztáčí pouze při zatláčení hřebíků tzn. </w:t>
      </w:r>
      <w:r>
        <w:rPr>
          <w:b/>
          <w:bCs/>
        </w:rPr>
        <w:t xml:space="preserve">neběží stále </w:t>
      </w:r>
      <w:r>
        <w:rPr/>
        <w:t xml:space="preserve">a energetická úspora je tím pádem značná. Princip </w:t>
      </w:r>
      <w:r>
        <w:rPr>
          <w:b/>
          <w:bCs/>
        </w:rPr>
        <w:t>aktuátoru</w:t>
      </w:r>
      <w:r>
        <w:rPr/>
        <w:t xml:space="preserve"> vychází z převodu </w:t>
      </w:r>
      <w:r>
        <w:rPr>
          <w:b/>
          <w:bCs/>
        </w:rPr>
        <w:t xml:space="preserve">rotačního pohybu </w:t>
      </w:r>
      <w:r>
        <w:rPr/>
        <w:t xml:space="preserve">na </w:t>
      </w:r>
      <w:r>
        <w:rPr>
          <w:b/>
          <w:bCs/>
        </w:rPr>
        <w:t>lineární</w:t>
      </w:r>
      <w:r>
        <w:rPr/>
        <w:t>. Lineární pohyb zajišťuje píst ve spojení s kuličkovým šroubem.</w:t>
      </w:r>
    </w:p>
    <w:p>
      <w:pPr>
        <w:pStyle w:val="Normal"/>
        <w:rPr/>
      </w:pPr>
      <w:r>
        <w:rPr/>
        <w:drawing>
          <wp:anchor behindDoc="0" distT="0" distB="0" distL="114300" distR="114300" simplePos="0" locked="0" layoutInCell="0" allowOverlap="1" relativeHeight="7">
            <wp:simplePos x="0" y="0"/>
            <wp:positionH relativeFrom="column">
              <wp:posOffset>-229235</wp:posOffset>
            </wp:positionH>
            <wp:positionV relativeFrom="paragraph">
              <wp:posOffset>218440</wp:posOffset>
            </wp:positionV>
            <wp:extent cx="3087370" cy="2041525"/>
            <wp:effectExtent l="0" t="0" r="0" b="0"/>
            <wp:wrapTight wrapText="bothSides">
              <wp:wrapPolygon edited="0">
                <wp:start x="-3" y="0"/>
                <wp:lineTo x="-3" y="21362"/>
                <wp:lineTo x="21455" y="21362"/>
                <wp:lineTo x="21455" y="0"/>
                <wp:lineTo x="-3" y="0"/>
              </wp:wrapPolygon>
            </wp:wrapTight>
            <wp:docPr id="2" name="Obrázek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708"/>
        <w:jc w:val="both"/>
        <w:rPr/>
      </w:pPr>
      <w:r>
        <w:rPr/>
        <w:t xml:space="preserve">Výhody tohoto patentovaného řešení jsou zřejmé. Nemusíte si dělat starosti s uniklým olejem, když se vám poruší hydraulický obvod a následná </w:t>
      </w:r>
      <w:r>
        <w:rPr>
          <w:b/>
          <w:bCs/>
        </w:rPr>
        <w:t>ekologická likvidace</w:t>
      </w:r>
      <w:r>
        <w:rPr/>
        <w:t xml:space="preserve">. U hydrauliky je nutná častá kontrola </w:t>
      </w:r>
      <w:r>
        <w:rPr>
          <w:b/>
          <w:bCs/>
        </w:rPr>
        <w:t>tlaků, těsností</w:t>
      </w:r>
      <w:r>
        <w:rPr/>
        <w:t xml:space="preserve"> a </w:t>
      </w:r>
      <w:r>
        <w:rPr>
          <w:b/>
          <w:bCs/>
        </w:rPr>
        <w:t xml:space="preserve">teploty </w:t>
      </w:r>
      <w:r>
        <w:rPr/>
        <w:t xml:space="preserve">oleje, přičemž je většinou každý rok </w:t>
      </w:r>
      <w:r>
        <w:rPr>
          <w:b/>
          <w:bCs/>
        </w:rPr>
        <w:t xml:space="preserve">nutná </w:t>
      </w:r>
      <w:r>
        <w:rPr/>
        <w:t xml:space="preserve">výměna hydraulického oleje. Tento systém je také dosti hlučný, </w:t>
      </w:r>
      <w:r>
        <w:rPr>
          <w:b/>
          <w:bCs/>
        </w:rPr>
        <w:t>neekologický</w:t>
      </w:r>
      <w:r>
        <w:rPr/>
        <w:t xml:space="preserve"> a </w:t>
      </w:r>
      <w:r>
        <w:rPr>
          <w:b/>
          <w:bCs/>
        </w:rPr>
        <w:t>energeticky náročný,</w:t>
      </w:r>
      <w:r>
        <w:rPr/>
        <w:t xml:space="preserve"> protože při zapnutí běží stále motory hydraulického agregátu, které mají výkon </w:t>
      </w:r>
      <w:r>
        <w:rPr>
          <w:b/>
          <w:bCs/>
        </w:rPr>
        <w:t>až 9 kW.</w:t>
      </w:r>
      <w:r>
        <w:rPr/>
        <w:t xml:space="preserve"> Samozřejmě velmi důležitá je také bezpečnost a odstranění manipulace s oleji a jejich skladování.  </w:t>
      </w:r>
      <w:r>
        <w:rPr>
          <w:b/>
          <w:bCs/>
        </w:rPr>
        <w:t>Odpadá</w:t>
      </w:r>
      <w:r>
        <w:rPr/>
        <w:t xml:space="preserve"> tak náročná </w:t>
      </w:r>
      <w:r>
        <w:rPr>
          <w:b/>
          <w:bCs/>
        </w:rPr>
        <w:t xml:space="preserve">údržba </w:t>
      </w:r>
      <w:r>
        <w:rPr/>
        <w:t>a častá výměna olejové náplně.</w:t>
      </w:r>
    </w:p>
    <w:p>
      <w:pPr>
        <w:pStyle w:val="Normal"/>
        <w:rPr>
          <w:sz w:val="24"/>
          <w:szCs w:val="18"/>
        </w:rPr>
      </w:pPr>
      <w:r>
        <w:rPr>
          <w:sz w:val="24"/>
          <w:szCs w:val="18"/>
        </w:rPr>
      </w:r>
    </w:p>
    <w:p>
      <w:pPr>
        <w:pStyle w:val="Normal"/>
        <w:ind w:firstLine="708"/>
        <w:jc w:val="both"/>
        <w:rPr/>
      </w:pPr>
      <w:r>
        <w:rPr>
          <w:b/>
          <w:bCs/>
        </w:rPr>
        <w:t>Patentovaná technologie</w:t>
      </w:r>
      <w:r>
        <w:rPr/>
        <w:t xml:space="preserve"> je na sbíjecím automatu na první pohled dobře vidět. Díky dvěma lineárním aktuátorům, podtrhuje moderní a atraktivní design. Díky speciálně vyvinutému řešení je sbíjecí automat pro výrobu palet efektivnější s </w:t>
      </w:r>
      <w:r>
        <w:rPr>
          <w:b/>
          <w:bCs/>
        </w:rPr>
        <w:t>nejnižším příkonem ve své třídě a to jen (1,2 kW/h).</w:t>
      </w:r>
    </w:p>
    <w:p>
      <w:pPr>
        <w:pStyle w:val="Normal"/>
        <w:spacing w:lineRule="auto" w:line="240" w:before="0" w:after="0"/>
        <w:ind w:firstLine="708"/>
        <w:jc w:val="both"/>
        <w:rPr>
          <w:rFonts w:ascii="32rmpm" w:hAnsi="32rmpm" w:cs="32rmpm"/>
        </w:rPr>
      </w:pPr>
      <w:r>
        <w:rPr/>
        <w:t xml:space="preserve">Použitím elektro-mechanických aktuátorů se servomotorem dosahuje sbíjecí automat přesnosti zatláčení hřebíků </w:t>
      </w:r>
      <w:r>
        <w:rPr>
          <w:rFonts w:cs="Arial" w:ascii="Arial" w:hAnsi="Arial"/>
          <w:b/>
          <w:bCs/>
          <w:color w:val="202122"/>
          <w:sz w:val="21"/>
          <w:szCs w:val="21"/>
          <w:shd w:fill="FFFFFF" w:val="clear"/>
        </w:rPr>
        <w:t>±</w:t>
      </w:r>
      <w:r>
        <w:rPr>
          <w:b/>
          <w:bCs/>
        </w:rPr>
        <w:t xml:space="preserve"> 0,1mm. Rychlost a dynamiku</w:t>
      </w:r>
      <w:r>
        <w:rPr/>
        <w:t xml:space="preserve"> elektro-mechanických aktuátorů je možné nastavit na </w:t>
      </w:r>
      <w:r>
        <w:rPr>
          <w:b/>
          <w:bCs/>
        </w:rPr>
        <w:t>dotykovém</w:t>
      </w:r>
      <w:r>
        <w:rPr/>
        <w:t xml:space="preserve"> display ovládacího softwaru stroje. </w:t>
      </w:r>
      <w:r>
        <w:rPr>
          <w:b/>
          <w:bCs/>
        </w:rPr>
        <w:t>Velikost zdvihu</w:t>
      </w:r>
      <w:r>
        <w:rPr/>
        <w:t xml:space="preserve"> elektro-mechanických aktuátoru je </w:t>
      </w:r>
      <w:r>
        <w:rPr>
          <w:b/>
          <w:bCs/>
        </w:rPr>
        <w:t>možno nastavit pro každý</w:t>
      </w:r>
      <w:r>
        <w:rPr/>
        <w:t xml:space="preserve"> elektromechanický aktuátor zvlášť, i když jsou na pístnicích spojeny lisovacím mostem. Tato možnost nastavení umožňuje zatlačit hřebíky pod mostem do různé hloubky při jednom zdvihu.</w:t>
      </w:r>
      <w:r>
        <w:rPr>
          <w:rFonts w:cs="32rmpm" w:ascii="32rmpm" w:hAnsi="32rmpm"/>
        </w:rPr>
        <w:t xml:space="preserve"> Obsluha zadává potřebné příkazy pomocí </w:t>
      </w:r>
      <w:r>
        <w:rPr>
          <w:rFonts w:cs="32rmpm" w:ascii="32rmpm" w:hAnsi="32rmpm"/>
          <w:b/>
          <w:bCs/>
        </w:rPr>
        <w:t>dotykové obrazovky</w:t>
      </w:r>
      <w:r>
        <w:rPr>
          <w:rFonts w:cs="32rmpm" w:ascii="32rmpm" w:hAnsi="32rmpm"/>
        </w:rPr>
        <w:t xml:space="preserve">. Ovládací program v domácím jazyce napomáhá obsluze, jak správně postupovat při jednotlivých úkonech. Řídicí systém stroje umožňuje v základní výbavě uložit </w:t>
      </w:r>
      <w:r>
        <w:rPr>
          <w:rFonts w:cs="32rmpm" w:ascii="32rmpm" w:hAnsi="32rmpm"/>
          <w:b/>
          <w:bCs/>
        </w:rPr>
        <w:t>až 40 programů</w:t>
      </w:r>
      <w:r>
        <w:rPr>
          <w:rFonts w:cs="32rmpm" w:ascii="32rmpm" w:hAnsi="32rmpm"/>
        </w:rPr>
        <w:t xml:space="preserve"> sbíjení palet.</w:t>
      </w:r>
    </w:p>
    <w:p>
      <w:pPr>
        <w:pStyle w:val="Normal"/>
        <w:spacing w:lineRule="auto" w:line="240" w:before="0" w:after="0"/>
        <w:rPr>
          <w:rFonts w:ascii="32rmpm" w:hAnsi="32rmpm" w:cs="32rmpm"/>
        </w:rPr>
      </w:pPr>
      <w:r>
        <w:rPr>
          <w:rFonts w:cs="32rmpm" w:ascii="32rmpm" w:hAnsi="32rmpm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32rmpm" w:hAnsi="32rmpm" w:cs="32rmpm"/>
          <w:b/>
          <w:b/>
          <w:bCs/>
        </w:rPr>
      </w:pPr>
      <w:r>
        <w:rPr>
          <w:rFonts w:cs="32rmpm" w:ascii="32rmpm" w:hAnsi="32rmpm"/>
          <w:b/>
          <w:bCs/>
        </w:rPr>
        <w:t>Náklady za energie</w:t>
      </w:r>
      <w:r>
        <w:rPr>
          <w:rFonts w:cs="32rmpm" w:ascii="32rmpm" w:hAnsi="32rmpm"/>
        </w:rPr>
        <w:t xml:space="preserve"> patří v každé firmě k těm zásadním. Věnujte proto úsilí analýze spotřeby jednotlivých energií v reálném čase. Díky tomu odhalíte odběry a zamezíte zbytečnému </w:t>
      </w:r>
      <w:r>
        <w:rPr>
          <w:rFonts w:cs="32rmpm" w:ascii="32rmpm" w:hAnsi="32rmpm"/>
          <w:b/>
          <w:bCs/>
        </w:rPr>
        <w:t>plýtvání.</w:t>
      </w:r>
      <w:r>
        <w:rPr>
          <w:rFonts w:cs="32rmpm" w:ascii="32rmpm" w:hAnsi="32rmpm"/>
        </w:rPr>
        <w:t xml:space="preserve"> Celkový potenciál úspor v nákupu nového stroje spočívá v pozornosti jeho energetickým štítkům, které udávají informace o spotřebě energie.  U nejpoužívanějších strojů se vyplatí investovat do nejekonomičtější třídy. Přehledný graf informuje o </w:t>
      </w:r>
      <w:r>
        <w:rPr>
          <w:rFonts w:cs="32rmpm" w:ascii="32rmpm" w:hAnsi="32rmpm"/>
          <w:b/>
          <w:bCs/>
        </w:rPr>
        <w:t>ušetřených nákladech</w:t>
      </w:r>
      <w:r>
        <w:rPr>
          <w:rFonts w:cs="32rmpm" w:ascii="32rmpm" w:hAnsi="32rmpm"/>
        </w:rPr>
        <w:t xml:space="preserve"> při využití patentovaného řešení. Kde již v jednosměnném provozu jsou zřejmé nemalé úspory </w:t>
      </w:r>
      <w:r>
        <w:rPr>
          <w:rFonts w:cs="32rmpm" w:ascii="32rmpm" w:hAnsi="32rmpm"/>
          <w:b/>
          <w:bCs/>
        </w:rPr>
        <w:t xml:space="preserve">oproti konvekčnímu řešení. </w:t>
      </w:r>
    </w:p>
    <w:p>
      <w:pPr>
        <w:pStyle w:val="Normal"/>
        <w:spacing w:lineRule="auto" w:line="240" w:before="0" w:after="0"/>
        <w:jc w:val="both"/>
        <w:rPr>
          <w:rFonts w:ascii="32rmpm" w:hAnsi="32rmpm" w:cs="32rmpm"/>
        </w:rPr>
      </w:pPr>
      <w:r>
        <w:rPr>
          <w:rFonts w:cs="32rmpm" w:ascii="32rmpm" w:hAnsi="32rmpm"/>
        </w:rPr>
      </w:r>
    </w:p>
    <w:p>
      <w:pPr>
        <w:pStyle w:val="Normal"/>
        <w:spacing w:lineRule="auto" w:line="240" w:before="0" w:after="0"/>
        <w:rPr>
          <w:rFonts w:ascii="32rmpm" w:hAnsi="32rmpm" w:cs="32rmpm"/>
        </w:rPr>
      </w:pPr>
      <w:r>
        <w:rPr>
          <w:rFonts w:cs="32rmpm" w:ascii="32rmpm" w:hAnsi="32rmpm"/>
        </w:rPr>
      </w:r>
    </w:p>
    <w:p>
      <w:pPr>
        <w:pStyle w:val="Normal"/>
        <w:jc w:val="center"/>
        <w:rPr>
          <w:rFonts w:ascii="32rmpm" w:hAnsi="32rmpm" w:cs="32rmpm"/>
        </w:rPr>
      </w:pPr>
      <w:r>
        <w:rPr/>
        <w:drawing>
          <wp:inline distT="0" distB="0" distL="0" distR="0">
            <wp:extent cx="5760720" cy="3689350"/>
            <wp:effectExtent l="0" t="0" r="0" b="0"/>
            <wp:docPr id="3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rPr>
          <w:rFonts w:cs="32rmpm" w:ascii="32rmpm" w:hAnsi="32rmpm"/>
          <w:i/>
          <w:iCs/>
        </w:rPr>
        <w:t>Tabulka spotřeby elektrické energie v číslech patentované elektro-mechanické řešení vs. hydraulický agregát.</w:t>
      </w:r>
    </w:p>
    <w:p>
      <w:pPr>
        <w:pStyle w:val="Normal"/>
        <w:spacing w:lineRule="auto" w:line="240" w:before="0" w:after="0"/>
        <w:rPr>
          <w:sz w:val="23"/>
          <w:szCs w:val="23"/>
        </w:rPr>
      </w:pPr>
      <w:r>
        <w:rPr/>
        <w:drawing>
          <wp:inline distT="0" distB="0" distL="0" distR="0">
            <wp:extent cx="5760720" cy="2880360"/>
            <wp:effectExtent l="0" t="0" r="0" b="0"/>
            <wp:docPr id="4" name="Obrázek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b/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*Pozn. 1 směna = 8 hodin</w:t>
      </w:r>
    </w:p>
    <w:p>
      <w:pPr>
        <w:pStyle w:val="Normal"/>
        <w:spacing w:lineRule="auto" w:line="240" w:before="0" w:after="0"/>
        <w:rPr>
          <w:b/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*Pozn. 1 měsíc = 21 prac. dní</w:t>
      </w:r>
    </w:p>
    <w:p>
      <w:pPr>
        <w:pStyle w:val="Normal"/>
        <w:rPr/>
      </w:pPr>
      <w:r>
        <w:rPr/>
      </w:r>
    </w:p>
    <w:p>
      <w:pPr>
        <w:pStyle w:val="Normal"/>
        <w:ind w:firstLine="708"/>
        <w:jc w:val="both"/>
        <w:rPr/>
      </w:pPr>
      <w:r>
        <w:rPr/>
        <w:t xml:space="preserve">V aktuální nabídce značky Störi Mantel jsou </w:t>
      </w:r>
      <w:r>
        <w:rPr>
          <w:b/>
          <w:bCs/>
        </w:rPr>
        <w:t>dvě řady</w:t>
      </w:r>
      <w:r>
        <w:rPr/>
        <w:t xml:space="preserve"> sbíjecích automatů vybavené elektro-mechanickou technologií. </w:t>
      </w:r>
      <w:r>
        <w:rPr>
          <w:b/>
          <w:bCs/>
        </w:rPr>
        <w:t>Nízkokapacitní paletovací automat</w:t>
      </w:r>
      <w:r>
        <w:rPr/>
        <w:t xml:space="preserve"> s kapacitou </w:t>
      </w:r>
      <w:r>
        <w:rPr>
          <w:b/>
          <w:bCs/>
        </w:rPr>
        <w:t>500 palet</w:t>
      </w:r>
      <w:r>
        <w:rPr/>
        <w:t xml:space="preserve"> za směnu anebo nejmodernější </w:t>
      </w:r>
      <w:r>
        <w:rPr>
          <w:b/>
          <w:bCs/>
        </w:rPr>
        <w:t>vysokokapacitní linka</w:t>
      </w:r>
      <w:r>
        <w:rPr/>
        <w:t xml:space="preserve"> s kapacitou </w:t>
      </w:r>
      <w:r>
        <w:rPr>
          <w:b/>
          <w:bCs/>
        </w:rPr>
        <w:t>2000 palet</w:t>
      </w:r>
      <w:r>
        <w:rPr/>
        <w:t xml:space="preserve"> za směnu. SMHC-LINE je určena pro nejnáročnější zákazníky, vyniká totiž svou </w:t>
      </w:r>
      <w:r>
        <w:rPr>
          <w:b/>
          <w:bCs/>
        </w:rPr>
        <w:t>kapacitou</w:t>
      </w:r>
      <w:r>
        <w:rPr/>
        <w:t xml:space="preserve"> výroby. Funkčním řešením a mimořádnou variabilitou uspořádání linky do různých forem </w:t>
      </w:r>
      <w:r>
        <w:rPr>
          <w:b/>
          <w:bCs/>
        </w:rPr>
        <w:t>(přímá, L nebo U).</w:t>
      </w:r>
    </w:p>
    <w:p>
      <w:pPr>
        <w:pStyle w:val="Normal"/>
        <w:ind w:firstLine="708"/>
        <w:jc w:val="both"/>
        <w:rPr/>
      </w:pPr>
      <w:r>
        <w:rPr/>
        <w:t xml:space="preserve">Linka je sestavena </w:t>
      </w:r>
      <w:r>
        <w:rPr>
          <w:b/>
          <w:bCs/>
        </w:rPr>
        <w:t xml:space="preserve">ze dvou sbíjecích automatů </w:t>
      </w:r>
      <w:r>
        <w:rPr/>
        <w:t xml:space="preserve">s možností mechanického přestavení linky na různé typy a velkosti palet. Oblíbená je také </w:t>
      </w:r>
      <w:r>
        <w:rPr>
          <w:b/>
          <w:bCs/>
        </w:rPr>
        <w:t>plně univerzální linka</w:t>
      </w:r>
      <w:r>
        <w:rPr/>
        <w:t xml:space="preserve">, která je sestavena ze </w:t>
      </w:r>
      <w:r>
        <w:rPr>
          <w:b/>
          <w:bCs/>
        </w:rPr>
        <w:t>tří</w:t>
      </w:r>
      <w:r>
        <w:rPr/>
        <w:t xml:space="preserve"> sbíjecích automatů s výhodou </w:t>
      </w:r>
      <w:r>
        <w:rPr>
          <w:b/>
          <w:bCs/>
        </w:rPr>
        <w:t>rychlé</w:t>
      </w:r>
      <w:r>
        <w:rPr/>
        <w:t xml:space="preserve"> přestavitelnosti pomocí </w:t>
      </w:r>
      <w:r>
        <w:rPr>
          <w:b/>
          <w:bCs/>
        </w:rPr>
        <w:t>elektromotorů</w:t>
      </w:r>
      <w:r>
        <w:rPr/>
        <w:t xml:space="preserve"> na </w:t>
      </w:r>
      <w:r>
        <w:rPr>
          <w:b/>
          <w:bCs/>
        </w:rPr>
        <w:t>různé typy a velkosti palet</w:t>
      </w:r>
      <w:r>
        <w:rPr/>
        <w:t xml:space="preserve">. </w:t>
        <w:br/>
        <w:br/>
        <w:t xml:space="preserve">             Třetí sbíjecí </w:t>
      </w:r>
      <w:r>
        <w:rPr>
          <w:b/>
          <w:bCs/>
        </w:rPr>
        <w:t>automat na víka</w:t>
      </w:r>
      <w:r>
        <w:rPr/>
        <w:t xml:space="preserve"> je zařízení, které je standardně zařazeno do vysokokapacitní linky, ale může pracovat i jako </w:t>
      </w:r>
      <w:r>
        <w:rPr>
          <w:b/>
          <w:bCs/>
        </w:rPr>
        <w:t>samostatný stroj</w:t>
      </w:r>
      <w:r>
        <w:rPr/>
        <w:t xml:space="preserve"> ke sbíjení paletových vík nebo dvoucestných palet.</w:t>
      </w:r>
    </w:p>
    <w:p>
      <w:pPr>
        <w:pStyle w:val="Normal"/>
        <w:ind w:firstLine="708"/>
        <w:jc w:val="both"/>
        <w:rPr>
          <w:b/>
          <w:b/>
          <w:bCs/>
        </w:rPr>
      </w:pPr>
      <w:r>
        <w:rPr/>
        <w:t xml:space="preserve"> </w:t>
      </w:r>
      <w:r>
        <w:rPr/>
        <w:t xml:space="preserve">Výrobní linie obsahují </w:t>
      </w:r>
      <w:r>
        <w:rPr>
          <w:b/>
          <w:bCs/>
        </w:rPr>
        <w:t>linku na opracování</w:t>
      </w:r>
      <w:r>
        <w:rPr/>
        <w:t xml:space="preserve"> SMOP a </w:t>
      </w:r>
      <w:r>
        <w:rPr>
          <w:b/>
          <w:bCs/>
        </w:rPr>
        <w:t>stohovače</w:t>
      </w:r>
      <w:r>
        <w:rPr/>
        <w:t xml:space="preserve"> palet SMPS. Linka opracování je </w:t>
      </w:r>
      <w:r>
        <w:rPr>
          <w:b/>
          <w:bCs/>
        </w:rPr>
        <w:t>plně automatické</w:t>
      </w:r>
      <w:r>
        <w:rPr/>
        <w:t xml:space="preserve"> výrobní zařízení složené ze tří základních sekcí – </w:t>
      </w:r>
      <w:r>
        <w:rPr>
          <w:b/>
          <w:bCs/>
        </w:rPr>
        <w:t>vyplování znaků, ořez rohů a podélného frézování hran</w:t>
      </w:r>
      <w:r>
        <w:rPr/>
        <w:t xml:space="preserve">. Stohovač palet SMPS je určen pro stohování palet a umožnuje dva způsoby stohování palet, a to jak </w:t>
      </w:r>
      <w:r>
        <w:rPr>
          <w:b/>
          <w:bCs/>
        </w:rPr>
        <w:t>prostého stohování, tak zámkování palet.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2752090" cy="1466215"/>
            <wp:effectExtent l="0" t="0" r="0" b="0"/>
            <wp:docPr id="5" name="Obrázek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mc:AlternateContent>
          <mc:Choice Requires="wps">
            <w:drawing>
              <wp:inline distT="0" distB="0" distL="0" distR="5715" wp14:anchorId="3782EE6F">
                <wp:extent cx="2834005" cy="1393190"/>
                <wp:effectExtent l="0" t="0" r="5715" b="0"/>
                <wp:docPr id="6" name="Picture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"/>
                        <pic:cNvPicPr/>
                      </pic:nvPicPr>
                      <pic:blipFill>
                        <a:blip r:embed="rId1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2833200" cy="139248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Picture 1" stroked="f" style="position:absolute;margin-left:0pt;margin-top:-109.7pt;width:223.05pt;height:109.6pt;mso-position-vertical:top" wp14:anchorId="3782EE6F" type="shapetype_75">
                <v:imagedata r:id="rId13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ind w:firstLine="708"/>
        <w:jc w:val="center"/>
        <w:rPr/>
      </w:pPr>
      <w:r>
        <w:rPr>
          <w:b/>
          <w:bCs/>
        </w:rPr>
        <w:t>Rosteme díky Inovacím:</w:t>
      </w:r>
    </w:p>
    <w:p>
      <w:pPr>
        <w:pStyle w:val="Normal"/>
        <w:ind w:firstLine="708"/>
        <w:jc w:val="center"/>
        <w:rPr/>
      </w:pPr>
      <w:r>
        <w:rPr/>
        <w:t xml:space="preserve">Společnost Störi Mantel s.r.o. představila horkou novinku pro výrobce </w:t>
      </w:r>
      <w:r>
        <w:rPr>
          <w:b/>
          <w:bCs/>
        </w:rPr>
        <w:t>Europalet</w:t>
      </w:r>
      <w:r>
        <w:rPr/>
        <w:t xml:space="preserve">. Jedná se o kontrolu kvality sbíjení, což je systém s umělou inteligencí pro výstupní kontrolu kvality výrobků. Při automatickém zatlačování hřebíků se někdy může stát, že hřebík není </w:t>
      </w:r>
      <w:r>
        <w:rPr>
          <w:b/>
          <w:bCs/>
        </w:rPr>
        <w:t>správně</w:t>
      </w:r>
      <w:r>
        <w:rPr/>
        <w:t xml:space="preserve"> zatlačen. </w:t>
      </w:r>
      <w:r>
        <w:rPr>
          <w:b/>
          <w:bCs/>
        </w:rPr>
        <w:t>Kamerový systém</w:t>
      </w:r>
      <w:r>
        <w:rPr/>
        <w:t xml:space="preserve"> kontinuálně monitoruje jednotlivé palety a </w:t>
      </w:r>
      <w:r>
        <w:rPr>
          <w:b/>
          <w:bCs/>
        </w:rPr>
        <w:t>softwarově vyhodnocuje obraz</w:t>
      </w:r>
      <w:r>
        <w:rPr/>
        <w:t xml:space="preserve">. Tohle řešení využívá </w:t>
      </w:r>
      <w:r>
        <w:rPr>
          <w:b/>
          <w:bCs/>
        </w:rPr>
        <w:t>algoritmů umělé inteligence</w:t>
      </w:r>
      <w:r>
        <w:rPr/>
        <w:t xml:space="preserve"> – podobných, jako se využívají v samořídících autech např. k detekci chodců. Systém je naučen provádět kontrolu sbité palety (vyhledávat anomálie – nezatlačené hřebíky, defektní stavy). Pokud tento </w:t>
      </w:r>
      <w:r>
        <w:rPr>
          <w:b/>
          <w:bCs/>
        </w:rPr>
        <w:t>defektní stav</w:t>
      </w:r>
      <w:r>
        <w:rPr/>
        <w:t xml:space="preserve"> nastane, je </w:t>
      </w:r>
      <w:r>
        <w:rPr>
          <w:b/>
          <w:bCs/>
        </w:rPr>
        <w:t>signalizován</w:t>
      </w:r>
      <w:r>
        <w:rPr/>
        <w:t xml:space="preserve"> obsluze prostřednictvím světelné a akustické signalizace. Sytém takto zajištuje výstupní kontrolu kvality červeně označené špatně zatlačený hřebík.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2534920" cy="1475740"/>
            <wp:effectExtent l="0" t="0" r="0" b="0"/>
            <wp:docPr id="7" name="Picture 7" descr="A picture containing plane, air, large, airpla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lane, air, large, airpla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2628900" cy="1347470"/>
            <wp:effectExtent l="0" t="0" r="0" b="0"/>
            <wp:docPr id="8" name="Picture 8" descr="A picture containing food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food,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34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/>
      </w:r>
    </w:p>
    <w:p>
      <w:pPr>
        <w:pStyle w:val="Normal"/>
        <w:spacing w:lineRule="auto" w:line="240" w:before="0" w:after="0"/>
        <w:rPr>
          <w:rFonts w:cs="Calibri" w:cstheme="minorHAnsi"/>
          <w:b/>
          <w:b/>
          <w:bCs/>
          <w:color w:val="333333"/>
          <w:sz w:val="23"/>
          <w:szCs w:val="23"/>
          <w:shd w:fill="FFFFFF" w:val="clear"/>
        </w:rPr>
      </w:pPr>
      <w:r>
        <w:rPr>
          <w:rFonts w:cs="Calibri" w:cstheme="minorHAnsi"/>
          <w:b/>
          <w:bCs/>
          <w:color w:val="333333"/>
          <w:sz w:val="23"/>
          <w:szCs w:val="23"/>
          <w:shd w:fill="FFFFFF" w:val="clear"/>
        </w:rPr>
        <w:t>Užitečné informace:</w:t>
      </w:r>
    </w:p>
    <w:p>
      <w:pPr>
        <w:pStyle w:val="Normal"/>
        <w:spacing w:lineRule="auto" w:line="240" w:before="0" w:after="0"/>
        <w:rPr>
          <w:rFonts w:cs="Calibri" w:cstheme="minorHAnsi"/>
          <w:color w:val="333333"/>
          <w:sz w:val="23"/>
          <w:szCs w:val="23"/>
          <w:shd w:fill="FFFFFF" w:val="clear"/>
        </w:rPr>
      </w:pPr>
      <w:r>
        <w:rPr>
          <w:rFonts w:cs="Calibri" w:cstheme="minorHAnsi"/>
          <w:color w:val="333333"/>
          <w:sz w:val="23"/>
          <w:szCs w:val="23"/>
          <w:shd w:fill="FFFFFF" w:val="clear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rFonts w:cs="Calibri" w:cstheme="minorHAnsi"/>
          <w:b/>
          <w:b/>
          <w:bCs/>
          <w:color w:val="333333"/>
          <w:sz w:val="23"/>
          <w:szCs w:val="23"/>
          <w:shd w:fill="FFFFFF" w:val="clear"/>
        </w:rPr>
      </w:pPr>
      <w:r>
        <w:drawing>
          <wp:anchor behindDoc="0" distT="0" distB="0" distL="114300" distR="114300" simplePos="0" locked="0" layoutInCell="0" allowOverlap="1" relativeHeight="8">
            <wp:simplePos x="0" y="0"/>
            <wp:positionH relativeFrom="column">
              <wp:posOffset>3511550</wp:posOffset>
            </wp:positionH>
            <wp:positionV relativeFrom="paragraph">
              <wp:posOffset>43815</wp:posOffset>
            </wp:positionV>
            <wp:extent cx="2012950" cy="1969770"/>
            <wp:effectExtent l="0" t="0" r="0" b="0"/>
            <wp:wrapTight wrapText="bothSides">
              <wp:wrapPolygon edited="0">
                <wp:start x="-3" y="0"/>
                <wp:lineTo x="-3" y="21306"/>
                <wp:lineTo x="21467" y="21306"/>
                <wp:lineTo x="21467" y="0"/>
                <wp:lineTo x="-3" y="0"/>
              </wp:wrapPolygon>
            </wp:wrapTight>
            <wp:docPr id="9" name="Obrázek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 w:cstheme="minorHAnsi"/>
          <w:color w:val="333333"/>
          <w:sz w:val="23"/>
          <w:szCs w:val="23"/>
          <w:shd w:fill="FFFFFF" w:val="clear"/>
        </w:rPr>
        <w:t>P</w:t>
      </w:r>
      <w:r>
        <w:rPr>
          <w:rFonts w:cs="Calibri" w:cstheme="minorHAnsi"/>
          <w:color w:val="333333"/>
          <w:sz w:val="23"/>
          <w:szCs w:val="23"/>
          <w:shd w:fill="FFFFFF" w:val="clear"/>
        </w:rPr>
        <w:t xml:space="preserve">aletovací technologie je přirozeným vývojem s možností </w:t>
      </w:r>
      <w:r>
        <w:rPr>
          <w:rFonts w:cs="Calibri" w:cstheme="minorHAnsi"/>
          <w:b/>
          <w:bCs/>
          <w:color w:val="333333"/>
          <w:sz w:val="23"/>
          <w:szCs w:val="23"/>
          <w:shd w:fill="FFFFFF" w:val="clear"/>
        </w:rPr>
        <w:t>navýšení</w:t>
      </w:r>
      <w:r>
        <w:rPr>
          <w:rFonts w:cs="Calibri" w:cstheme="minorHAnsi"/>
          <w:color w:val="333333"/>
          <w:sz w:val="23"/>
          <w:szCs w:val="23"/>
          <w:shd w:fill="FFFFFF" w:val="clear"/>
        </w:rPr>
        <w:t xml:space="preserve"> výrobních kapacit</w:t>
      </w:r>
      <w:r>
        <w:rPr>
          <w:rFonts w:cs="Calibri" w:cstheme="minorHAnsi"/>
          <w:b/>
          <w:bCs/>
          <w:color w:val="333333"/>
          <w:sz w:val="23"/>
          <w:szCs w:val="23"/>
          <w:shd w:fill="FFFFFF" w:val="clear"/>
        </w:rPr>
        <w:t>, úspory</w:t>
      </w:r>
      <w:r>
        <w:rPr>
          <w:rFonts w:cs="Calibri" w:cstheme="minorHAnsi"/>
          <w:color w:val="333333"/>
          <w:sz w:val="23"/>
          <w:szCs w:val="23"/>
          <w:shd w:fill="FFFFFF" w:val="clear"/>
        </w:rPr>
        <w:t xml:space="preserve"> lidského potenciálu a </w:t>
      </w:r>
      <w:r>
        <w:rPr>
          <w:rFonts w:cs="Calibri" w:cstheme="minorHAnsi"/>
          <w:b/>
          <w:bCs/>
          <w:color w:val="333333"/>
          <w:sz w:val="23"/>
          <w:szCs w:val="23"/>
          <w:shd w:fill="FFFFFF" w:val="clear"/>
        </w:rPr>
        <w:t>zvýšení bezpečnosti.</w:t>
      </w:r>
      <w:r>
        <w:rPr>
          <w:rFonts w:cs="Calibri" w:cstheme="minorHAnsi"/>
          <w:color w:val="333333"/>
          <w:sz w:val="23"/>
          <w:szCs w:val="23"/>
          <w:shd w:fill="FFFFFF" w:val="clear"/>
        </w:rPr>
        <w:t xml:space="preserve"> To vše díky </w:t>
      </w:r>
      <w:r>
        <w:rPr>
          <w:rFonts w:cs="Calibri" w:cstheme="minorHAnsi"/>
          <w:b/>
          <w:bCs/>
          <w:color w:val="333333"/>
          <w:sz w:val="23"/>
          <w:szCs w:val="23"/>
          <w:shd w:fill="FFFFFF" w:val="clear"/>
        </w:rPr>
        <w:t>automatizaci</w:t>
      </w:r>
      <w:r>
        <w:rPr>
          <w:rFonts w:cs="Calibri" w:cstheme="minorHAnsi"/>
          <w:color w:val="333333"/>
          <w:sz w:val="23"/>
          <w:szCs w:val="23"/>
          <w:shd w:fill="FFFFFF" w:val="clear"/>
        </w:rPr>
        <w:t xml:space="preserve"> výrobních procesů se </w:t>
      </w:r>
      <w:r>
        <w:rPr>
          <w:rFonts w:cs="Calibri" w:cstheme="minorHAnsi"/>
          <w:b/>
          <w:bCs/>
          <w:color w:val="333333"/>
          <w:sz w:val="23"/>
          <w:szCs w:val="23"/>
          <w:shd w:fill="FFFFFF" w:val="clear"/>
        </w:rPr>
        <w:t xml:space="preserve">snížením výrobních nákladů. </w:t>
      </w:r>
    </w:p>
    <w:p>
      <w:pPr>
        <w:pStyle w:val="Normal"/>
        <w:spacing w:lineRule="auto" w:line="240" w:before="0" w:after="0"/>
        <w:jc w:val="both"/>
        <w:rPr>
          <w:rFonts w:cs="Calibri" w:cstheme="minorHAnsi"/>
          <w:color w:val="333333"/>
          <w:sz w:val="23"/>
          <w:szCs w:val="23"/>
          <w:shd w:fill="FFFFFF" w:val="clear"/>
        </w:rPr>
      </w:pPr>
      <w:r>
        <w:rPr>
          <w:rFonts w:cs="Calibri" w:cstheme="minorHAnsi"/>
          <w:color w:val="333333"/>
          <w:sz w:val="23"/>
          <w:szCs w:val="23"/>
          <w:shd w:fill="FFFFFF" w:val="clear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jc w:val="both"/>
        <w:rPr>
          <w:rFonts w:cs="Calibri" w:cstheme="minorHAnsi"/>
          <w:color w:val="333333"/>
          <w:sz w:val="23"/>
          <w:szCs w:val="23"/>
          <w:shd w:fill="FFFFFF" w:val="clear"/>
        </w:rPr>
      </w:pPr>
      <w:r>
        <w:rPr>
          <w:rFonts w:cs="Calibri" w:cstheme="minorHAnsi"/>
          <w:color w:val="333333"/>
          <w:sz w:val="23"/>
          <w:szCs w:val="23"/>
          <w:shd w:fill="FFFFFF" w:val="clear"/>
        </w:rPr>
        <w:t xml:space="preserve">S ohledem na </w:t>
      </w:r>
      <w:r>
        <w:rPr>
          <w:rFonts w:cs="Calibri" w:cstheme="minorHAnsi"/>
          <w:b/>
          <w:bCs/>
          <w:color w:val="333333"/>
          <w:sz w:val="23"/>
          <w:szCs w:val="23"/>
          <w:shd w:fill="FFFFFF" w:val="clear"/>
        </w:rPr>
        <w:t>dispozici výrobní haly</w:t>
      </w:r>
      <w:r>
        <w:rPr>
          <w:rFonts w:cs="Calibri" w:cstheme="minorHAnsi"/>
          <w:color w:val="333333"/>
          <w:sz w:val="23"/>
          <w:szCs w:val="23"/>
          <w:shd w:fill="FFFFFF" w:val="clear"/>
        </w:rPr>
        <w:t xml:space="preserve"> je možné ji uspořádat do různých forem (přímá linka, L nebo U). </w:t>
      </w:r>
    </w:p>
    <w:p>
      <w:pPr>
        <w:pStyle w:val="Normal"/>
        <w:spacing w:lineRule="auto" w:line="240" w:before="0" w:after="0"/>
        <w:jc w:val="both"/>
        <w:rPr>
          <w:rFonts w:cs="Calibri" w:cstheme="minorHAnsi"/>
          <w:color w:val="333333"/>
          <w:sz w:val="23"/>
          <w:szCs w:val="23"/>
          <w:shd w:fill="FFFFFF" w:val="clear"/>
        </w:rPr>
      </w:pPr>
      <w:r>
        <w:rPr>
          <w:rFonts w:cs="Calibri" w:cstheme="minorHAnsi"/>
          <w:color w:val="333333"/>
          <w:sz w:val="23"/>
          <w:szCs w:val="23"/>
          <w:shd w:fill="FFFFFF" w:val="clear"/>
        </w:rPr>
      </w:r>
    </w:p>
    <w:p>
      <w:pPr>
        <w:pStyle w:val="ListParagraph"/>
        <w:numPr>
          <w:ilvl w:val="0"/>
          <w:numId w:val="1"/>
        </w:numPr>
        <w:jc w:val="both"/>
        <w:rPr>
          <w:b/>
          <w:b/>
          <w:bCs/>
        </w:rPr>
      </w:pPr>
      <w:r>
        <w:rPr/>
        <w:t xml:space="preserve">Störi Mantel se zásadně liší </w:t>
      </w:r>
      <w:r>
        <w:rPr>
          <w:b/>
          <w:bCs/>
        </w:rPr>
        <w:t>pohledem na zákazníka</w:t>
      </w:r>
      <w:r>
        <w:rPr/>
        <w:t xml:space="preserve">, kdy firma zákazníkovi stroje nejen prodává, ale i vyrábí a chce si být jistá, že investice zákazníka do nového stroje bude v prvé řadě účelná </w:t>
      </w:r>
      <w:r>
        <w:rPr>
          <w:b/>
          <w:bCs/>
        </w:rPr>
        <w:t xml:space="preserve">právě pro něj.  </w:t>
      </w:r>
    </w:p>
    <w:p>
      <w:pPr>
        <w:pStyle w:val="Normal"/>
        <w:rPr/>
      </w:pPr>
      <w:r>
        <w:rPr/>
      </w:r>
    </w:p>
    <w:p>
      <w:pPr>
        <w:pStyle w:val="Normal"/>
        <w:ind w:left="6096" w:hanging="0"/>
        <w:rPr>
          <w:rFonts w:cs="Calibri" w:cstheme="minorHAnsi"/>
          <w:b/>
          <w:b/>
          <w:bCs/>
          <w:sz w:val="20"/>
          <w:szCs w:val="20"/>
        </w:rPr>
      </w:pPr>
      <w:r>
        <w:rPr>
          <w:rFonts w:cs="Calibri" w:cstheme="minorHAnsi"/>
          <w:b/>
          <w:bCs/>
          <w:sz w:val="20"/>
          <w:szCs w:val="20"/>
        </w:rPr>
      </w:r>
    </w:p>
    <w:p>
      <w:pPr>
        <w:pStyle w:val="Normal"/>
        <w:rPr>
          <w:rFonts w:cs="Calibri" w:cstheme="minorHAnsi"/>
          <w:b/>
          <w:b/>
          <w:bCs/>
          <w:sz w:val="20"/>
          <w:szCs w:val="20"/>
        </w:rPr>
      </w:pPr>
      <w:r>
        <w:rPr>
          <w:rFonts w:cs="Calibri" w:cstheme="minorHAnsi"/>
          <w:b/>
          <w:bCs/>
          <w:sz w:val="20"/>
          <w:szCs w:val="20"/>
        </w:rPr>
        <w:drawing>
          <wp:anchor behindDoc="0" distT="0" distB="0" distL="114300" distR="114300" simplePos="0" locked="0" layoutInCell="0" allowOverlap="1" relativeHeight="11">
            <wp:simplePos x="0" y="0"/>
            <wp:positionH relativeFrom="column">
              <wp:posOffset>894715</wp:posOffset>
            </wp:positionH>
            <wp:positionV relativeFrom="paragraph">
              <wp:posOffset>125730</wp:posOffset>
            </wp:positionV>
            <wp:extent cx="5760720" cy="1187450"/>
            <wp:effectExtent l="0" t="0" r="0" b="0"/>
            <wp:wrapSquare wrapText="bothSides"/>
            <wp:docPr id="10" name="Picture 1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4962" w:hanging="0"/>
        <w:rPr>
          <w:rFonts w:cs="Calibri" w:cstheme="minorHAnsi"/>
          <w:b/>
          <w:b/>
          <w:bCs/>
          <w:sz w:val="20"/>
          <w:szCs w:val="20"/>
        </w:rPr>
      </w:pPr>
      <w:r>
        <mc:AlternateContent>
          <mc:Choice Requires="wpg">
            <w:drawing>
              <wp:anchor behindDoc="1" distT="0" distB="0" distL="114300" distR="114300" simplePos="0" locked="0" layoutInCell="0" allowOverlap="1" relativeHeight="10" wp14:anchorId="4A16CDF0">
                <wp:simplePos x="0" y="0"/>
                <wp:positionH relativeFrom="column">
                  <wp:posOffset>3175000</wp:posOffset>
                </wp:positionH>
                <wp:positionV relativeFrom="paragraph">
                  <wp:posOffset>635</wp:posOffset>
                </wp:positionV>
                <wp:extent cx="3140075" cy="758825"/>
                <wp:effectExtent l="0" t="0" r="0" b="0"/>
                <wp:wrapTight wrapText="bothSides">
                  <wp:wrapPolygon edited="0">
                    <wp:start x="0" y="0"/>
                    <wp:lineTo x="0" y="18148"/>
                    <wp:lineTo x="3670" y="20817"/>
                    <wp:lineTo x="21102" y="20817"/>
                    <wp:lineTo x="21364" y="13344"/>
                    <wp:lineTo x="20709" y="12277"/>
                    <wp:lineTo x="15990" y="8540"/>
                    <wp:lineTo x="15990" y="0"/>
                    <wp:lineTo x="0" y="0"/>
                  </wp:wrapPolygon>
                </wp:wrapTight>
                <wp:docPr id="11" name="Skupina 1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9560" cy="758160"/>
                        </a:xfrm>
                      </wpg:grpSpPr>
                      <pic:pic xmlns:pic="http://schemas.openxmlformats.org/drawingml/2006/picture">
                        <pic:nvPicPr>
                          <pic:cNvPr id="2" name="Picture 4" descr="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2302560" cy="758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474840" y="477360"/>
                            <a:ext cx="2664360" cy="24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jc w:val="left"/>
                                <w:rPr/>
                              </w:pPr>
                              <w:r>
                                <w:rPr>
                                  <w:sz w:val="20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0"/>
                                  <w:bCs w:val="false"/>
                                  <w:iCs w:val="false"/>
                                  <w:smallCaps w:val="false"/>
                                  <w:caps w:val="false"/>
                                </w:rPr>
                                <w:t xml:space="preserve">výroba dřevoobráběcích strojů 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Skupina 16" style="position:absolute;margin-left:250pt;margin-top:0pt;width:247.15pt;height:59.7pt" coordorigin="5000,0" coordsize="4943,1194">
                <v:shape id="shape_0" ID="Picture 4" stroked="f" style="position:absolute;left:5000;top:0;width:3625;height:1193" type="shapetype_75">
                  <v:imagedata r:id="rId19" o:detectmouseclick="t"/>
                  <w10:wrap type="none"/>
                  <v:stroke color="#3465a4" joinstyle="round" endcap="flat"/>
                </v:shape>
                <v:rect id="shape_0" ID="Textové pole 2" stroked="f" style="position:absolute;left:5748;top:752;width:4195;height:388">
                  <v:textbox>
                    <w:txbxContent>
                      <w:p>
                        <w:pPr>
                          <w:overflowPunct w:val="false"/>
                          <w:spacing w:before="0" w:after="0" w:lineRule="auto" w:line="240"/>
                          <w:jc w:val="left"/>
                          <w:rPr/>
                        </w:pPr>
                        <w:r>
                          <w:rPr>
                            <w:sz w:val="20"/>
                            <w:b w:val="false"/>
                            <w:u w:val="none"/>
                            <w:dstrike w:val="false"/>
                            <w:strike w:val="false"/>
                            <w:i w:val="false"/>
                            <w:vertAlign w:val="baseline"/>
                            <w:position w:val="0"/>
                            <w:spacing w:val="0"/>
                            <w:szCs w:val="20"/>
                            <w:bCs w:val="false"/>
                            <w:iCs w:val="false"/>
                            <w:smallCaps w:val="false"/>
                            <w:caps w:val="false"/>
                          </w:rPr>
                          <w:t xml:space="preserve">výroba dřevoobráběcích strojů </w:t>
                        </w:r>
                      </w:p>
                    </w:txbxContent>
                  </v:textbox>
                  <w10:wrap type="square"/>
                  <v:fill o:detectmouseclick="t" on="false"/>
                  <v:stroke color="#3465a4" weight="9360" joinstyle="miter" endcap="flat"/>
                </v:rect>
              </v:group>
            </w:pict>
          </mc:Fallback>
        </mc:AlternateContent>
      </w:r>
      <w:r>
        <w:rPr>
          <w:rFonts w:cs="Calibri" w:cstheme="minorHAnsi"/>
          <w:b/>
          <w:bCs/>
          <w:sz w:val="20"/>
          <w:szCs w:val="20"/>
        </w:rPr>
        <w:t>Bližší informace</w:t>
      </w:r>
    </w:p>
    <w:p>
      <w:pPr>
        <w:pStyle w:val="Normal"/>
        <w:spacing w:lineRule="auto" w:line="240" w:before="0" w:after="0"/>
        <w:ind w:left="4962" w:hanging="0"/>
        <w:rPr>
          <w:rFonts w:cs="Calibri" w:cstheme="minorHAnsi"/>
          <w:sz w:val="20"/>
          <w:szCs w:val="20"/>
        </w:rPr>
      </w:pPr>
      <w:r>
        <w:rPr>
          <w:rFonts w:cs="Calibri" w:cstheme="minorHAnsi"/>
          <w:sz w:val="20"/>
          <w:szCs w:val="20"/>
        </w:rPr>
        <w:t>Störi Mantel s.r.o.</w:t>
      </w:r>
    </w:p>
    <w:p>
      <w:pPr>
        <w:pStyle w:val="Normal"/>
        <w:spacing w:lineRule="auto" w:line="240" w:before="0" w:after="0"/>
        <w:ind w:left="4962" w:hanging="0"/>
        <w:rPr>
          <w:rFonts w:cs="Calibri" w:cstheme="minorHAnsi"/>
          <w:sz w:val="20"/>
          <w:szCs w:val="20"/>
        </w:rPr>
      </w:pPr>
      <w:r>
        <w:rPr>
          <w:rFonts w:cs="Calibri" w:cstheme="minorHAnsi"/>
          <w:sz w:val="20"/>
          <w:szCs w:val="20"/>
        </w:rPr>
        <w:t>Průmyslový areál (Tesla), U Trati 2620</w:t>
      </w:r>
    </w:p>
    <w:p>
      <w:pPr>
        <w:pStyle w:val="Normal"/>
        <w:spacing w:lineRule="auto" w:line="240" w:before="0" w:after="0"/>
        <w:ind w:left="4962" w:hanging="0"/>
        <w:rPr>
          <w:rFonts w:cs="Calibri" w:cstheme="minorHAnsi"/>
          <w:sz w:val="20"/>
          <w:szCs w:val="20"/>
        </w:rPr>
      </w:pPr>
      <w:r>
        <w:rPr>
          <w:rFonts w:cs="Calibri" w:cstheme="minorHAnsi"/>
          <w:sz w:val="20"/>
          <w:szCs w:val="20"/>
        </w:rPr>
        <w:t>756 61 Rožnov pod Radhoštěm</w:t>
      </w:r>
    </w:p>
    <w:p>
      <w:pPr>
        <w:pStyle w:val="Normal"/>
        <w:spacing w:lineRule="auto" w:line="240" w:before="0" w:after="0"/>
        <w:ind w:left="4962" w:hanging="0"/>
        <w:rPr>
          <w:rFonts w:cs="Calibri" w:cstheme="minorHAnsi"/>
          <w:sz w:val="20"/>
          <w:szCs w:val="20"/>
        </w:rPr>
      </w:pPr>
      <w:r>
        <w:rPr>
          <w:rFonts w:cs="Calibri" w:cstheme="minorHAnsi"/>
          <w:sz w:val="20"/>
          <w:szCs w:val="20"/>
        </w:rPr>
        <w:t>Česká republika</w:t>
      </w:r>
    </w:p>
    <w:p>
      <w:pPr>
        <w:pStyle w:val="Normal"/>
        <w:spacing w:lineRule="auto" w:line="240" w:before="0" w:after="0"/>
        <w:ind w:left="4962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240" w:before="0" w:after="0"/>
        <w:ind w:left="4962" w:hanging="0"/>
        <w:rPr>
          <w:sz w:val="20"/>
          <w:szCs w:val="20"/>
        </w:rPr>
      </w:pPr>
      <w:r>
        <w:rPr>
          <w:sz w:val="20"/>
          <w:szCs w:val="20"/>
        </w:rPr>
        <w:t>Telefon</w:t>
        <w:tab/>
        <w:t xml:space="preserve"> +420 607 104 014</w:t>
      </w:r>
    </w:p>
    <w:p>
      <w:pPr>
        <w:pStyle w:val="Normal"/>
        <w:spacing w:lineRule="auto" w:line="240" w:before="0" w:after="0"/>
        <w:ind w:left="4962" w:hanging="0"/>
        <w:rPr>
          <w:sz w:val="20"/>
          <w:szCs w:val="20"/>
        </w:rPr>
      </w:pPr>
      <w:r>
        <w:rPr>
          <w:sz w:val="20"/>
          <w:szCs w:val="20"/>
        </w:rPr>
        <w:t>E-mail</w:t>
        <w:tab/>
        <w:t>j.zacal@stoerimantel.com</w:t>
      </w:r>
    </w:p>
    <w:p>
      <w:pPr>
        <w:pStyle w:val="Normal"/>
        <w:spacing w:lineRule="auto" w:line="240" w:before="0" w:after="0"/>
        <w:ind w:left="4962" w:hanging="0"/>
        <w:rPr>
          <w:sz w:val="20"/>
          <w:szCs w:val="20"/>
        </w:rPr>
      </w:pPr>
      <w:r>
        <w:rPr>
          <w:sz w:val="20"/>
          <w:szCs w:val="20"/>
        </w:rPr>
        <w:t>Internet</w:t>
        <w:tab/>
        <w:t xml:space="preserve"> </w:t>
      </w:r>
      <w:r>
        <w:rPr/>
        <w:t>www.stoerimantel.com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Arial">
    <w:charset w:val="ee"/>
    <w:family w:val="roman"/>
    <w:pitch w:val="variable"/>
  </w:font>
  <w:font w:name="32rmpm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66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cs-CZ" w:eastAsia="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Arial" w:asciiTheme="minorHAnsi" w:cstheme="minorBidi" w:eastAsiaTheme="minorHAnsi" w:hAnsiTheme="minorHAnsi"/>
        <w:sz w:val="22"/>
        <w:szCs w:val="22"/>
        <w:lang w:val="cs-CZ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false"/>
      <w:bidi w:val="0"/>
      <w:spacing w:lineRule="auto" w:line="259" w:before="0" w:after="160"/>
      <w:jc w:val="left"/>
    </w:pPr>
    <w:rPr>
      <w:rFonts w:ascii="Calibri" w:hAnsi="Calibri" w:eastAsia="Calibri" w:cs="Arial" w:asciiTheme="minorHAnsi" w:cstheme="minorBidi" w:eastAsiaTheme="minorHAnsi" w:hAnsiTheme="minorHAnsi"/>
      <w:color w:val="auto"/>
      <w:kern w:val="0"/>
      <w:sz w:val="22"/>
      <w:szCs w:val="22"/>
      <w:lang w:val="cs-CZ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Appleconvertedspace" w:customStyle="1">
    <w:name w:val="apple-converted-space"/>
    <w:basedOn w:val="DefaultParagraphFont"/>
    <w:qFormat/>
    <w:rsid w:val="00ae57f3"/>
    <w:rPr/>
  </w:style>
  <w:style w:type="character" w:styleId="InternetLink">
    <w:name w:val="Hyperlink"/>
    <w:basedOn w:val="DefaultParagraphFont"/>
    <w:uiPriority w:val="99"/>
    <w:semiHidden/>
    <w:unhideWhenUsed/>
    <w:rsid w:val="00ae57f3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75bb7"/>
    <w:rPr>
      <w:b/>
      <w:bCs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aa01a8"/>
    <w:rPr>
      <w:rFonts w:ascii="Segoe UI" w:hAnsi="Segoe UI" w:cs="Segoe UI"/>
      <w:sz w:val="18"/>
      <w:szCs w:val="18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bf576d"/>
    <w:rPr>
      <w:sz w:val="16"/>
      <w:szCs w:val="16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qFormat/>
    <w:rsid w:val="00bf576d"/>
    <w:rPr>
      <w:sz w:val="20"/>
      <w:szCs w:val="20"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qFormat/>
    <w:rsid w:val="00bf576d"/>
    <w:rPr>
      <w:b/>
      <w:bCs/>
      <w:sz w:val="20"/>
      <w:szCs w:val="20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Default" w:customStyle="1">
    <w:name w:val="Default"/>
    <w:qFormat/>
    <w:rsid w:val="000b0b0b"/>
    <w:pPr>
      <w:widowControl/>
      <w:bidi w:val="0"/>
      <w:spacing w:lineRule="auto" w:line="240" w:before="0" w:after="0"/>
      <w:jc w:val="left"/>
    </w:pPr>
    <w:rPr>
      <w:rFonts w:ascii="Times New Roman" w:hAnsi="Times New Roman" w:cs="Times New Roman" w:eastAsia="Calibri"/>
      <w:color w:val="000000"/>
      <w:kern w:val="0"/>
      <w:sz w:val="24"/>
      <w:szCs w:val="24"/>
      <w:lang w:val="cs-CZ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aa01a8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e4f21"/>
    <w:pPr>
      <w:spacing w:before="0" w:after="160"/>
      <w:ind w:left="720" w:hanging="0"/>
      <w:contextualSpacing/>
    </w:pPr>
    <w:rPr/>
  </w:style>
  <w:style w:type="paragraph" w:styleId="Annotationtext">
    <w:name w:val="annotation text"/>
    <w:basedOn w:val="Normal"/>
    <w:link w:val="CommentTextChar"/>
    <w:uiPriority w:val="99"/>
    <w:semiHidden/>
    <w:unhideWhenUsed/>
    <w:qFormat/>
    <w:rsid w:val="00bf576d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CommentSubjectChar"/>
    <w:uiPriority w:val="99"/>
    <w:semiHidden/>
    <w:unhideWhenUsed/>
    <w:qFormat/>
    <w:rsid w:val="00bf576d"/>
    <w:pPr/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stoerimantel.cz/technologie-smpt_sc4" TargetMode="External"/><Relationship Id="rId3" Type="http://schemas.openxmlformats.org/officeDocument/2006/relationships/hyperlink" Target="https://www.stoerimantel.cz/sbijeci-automat-smpa-500-2-ed_si4" TargetMode="External"/><Relationship Id="rId4" Type="http://schemas.openxmlformats.org/officeDocument/2006/relationships/image" Target="media/image1.png"/><Relationship Id="rId5" Type="http://schemas.microsoft.com/office/2007/relationships/hdphoto" Target="media/hdphoto1.wdp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chart" Target="charts/chart1.xml"/><Relationship Id="rId9" Type="http://schemas.openxmlformats.org/officeDocument/2006/relationships/image" Target="media/image4.wmf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microsoft.com/office/2007/relationships/hdphoto" Target="media/hdphoto2.wdp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numbering" Target="numbering.xml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
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title>
      <c:tx>
        <c:rich>
          <a:bodyPr rot="0"/>
          <a:lstStyle/>
          <a:p>
            <a:pPr>
              <a:defRPr b="1" lang="cs-CZ" sz="1800" spc="49" strike="noStrike">
                <a:solidFill>
                  <a:srgbClr val="595959"/>
                </a:solidFill>
                <a:latin typeface="Calibri"/>
              </a:defRPr>
            </a:pPr>
            <a:r>
              <a:rPr b="1" lang="cs-CZ" sz="1800" spc="49" strike="noStrike">
                <a:solidFill>
                  <a:srgbClr val="595959"/>
                </a:solidFill>
                <a:latin typeface="Calibri"/>
              </a:rPr>
              <a:t>Náklady el. energie za rok</a:t>
            </a:r>
          </a:p>
        </c:rich>
      </c:tx>
      <c:overlay val="0"/>
      <c:spPr>
        <a:noFill/>
        <a:ln w="0">
          <a:noFill/>
        </a:ln>
      </c:spPr>
    </c:title>
    <c:autoTitleDeleted val="0"/>
    <c:view3D>
      <c:rotX val="15"/>
      <c:rotY val="20"/>
      <c:rAngAx val="1"/>
      <c:perspective val="30"/>
    </c:view3D>
    <c:floor>
      <c:spPr>
        <a:noFill/>
        <a:ln w="6480">
          <a:noFill/>
        </a:ln>
      </c:spPr>
    </c:floor>
    <c:sideWall>
      <c:spPr>
        <a:noFill/>
        <a:ln w="6480">
          <a:noFill/>
        </a:ln>
      </c:spPr>
    </c:sideWall>
    <c:backWall>
      <c:spPr>
        <a:noFill/>
        <a:ln w="6480">
          <a:noFill/>
        </a:ln>
      </c:spPr>
    </c:backWall>
    <c:plotArea>
      <c:layout>
        <c:manualLayout>
          <c:layoutTarget val="inner"/>
          <c:xMode val="edge"/>
          <c:yMode val="edge"/>
          <c:x val="0.2171875"/>
          <c:y val="0.102444444444444"/>
          <c:w val="0.7578125"/>
          <c:h val="0.5642222222222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SMPA 500.2 ED 
ELEKTROMECHANIKA
[kWh]</c:v>
                </c:pt>
              </c:strCache>
            </c:strRef>
          </c:tx>
          <c:spPr>
            <a:gradFill>
              <a:gsLst>
                <a:gs pos="50000">
                  <a:srgbClr val="4472c4"/>
                </a:gs>
                <a:gs pos="100000">
                  <a:srgbClr val="4472c4">
                    <a:alpha val="0"/>
                  </a:srgbClr>
                </a:gs>
              </a:gsLst>
              <a:lin ang="5400000"/>
            </a:gradFill>
            <a:ln w="0">
              <a:noFill/>
            </a:ln>
          </c:spPr>
          <c:invertIfNegative val="0"/>
          <c:dLbls>
            <c:txPr>
              <a:bodyPr wrap="none"/>
              <a:lstStyle/>
              <a:p>
                <a:pPr>
                  <a:defRPr b="0" lang="sk-SK" sz="1000" spc="-1" strike="noStrike">
                    <a:solidFill>
                      <a:srgbClr val="000000"/>
                    </a:solidFill>
                    <a:latin typeface="Calibri"/>
                  </a:defRPr>
                </a:pPr>
              </a:p>
            </c:txPr>
            <c:showLegendKey val="0"/>
            <c:showVal val="0"/>
            <c:showCatName val="0"/>
            <c:showSerName val="0"/>
            <c:showPercent val="0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3"/>
                <c:pt idx="0">
                  <c:v>1 směna          </c:v>
                </c:pt>
                <c:pt idx="1">
                  <c:v>2 směny          </c:v>
                </c:pt>
                <c:pt idx="2">
                  <c:v>3 směny          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3"/>
                <c:pt idx="0">
                  <c:v>7660.8</c:v>
                </c:pt>
                <c:pt idx="1">
                  <c:v>15321.6</c:v>
                </c:pt>
                <c:pt idx="2">
                  <c:v>22982.4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SMPA 500
HYDRAULIKA
[kWh]</c:v>
                </c:pt>
              </c:strCache>
            </c:strRef>
          </c:tx>
          <c:spPr>
            <a:gradFill>
              <a:gsLst>
                <a:gs pos="50000">
                  <a:srgbClr val="ed7d31"/>
                </a:gs>
                <a:gs pos="100000">
                  <a:srgbClr val="ed7d31">
                    <a:alpha val="0"/>
                  </a:srgbClr>
                </a:gs>
              </a:gsLst>
              <a:lin ang="5400000"/>
            </a:gradFill>
            <a:ln w="0">
              <a:noFill/>
            </a:ln>
          </c:spPr>
          <c:invertIfNegative val="0"/>
          <c:dLbls>
            <c:txPr>
              <a:bodyPr wrap="none"/>
              <a:lstStyle/>
              <a:p>
                <a:pPr>
                  <a:defRPr b="0" lang="sk-SK" sz="1000" spc="-1" strike="noStrike">
                    <a:solidFill>
                      <a:srgbClr val="000000"/>
                    </a:solidFill>
                    <a:latin typeface="Calibri"/>
                  </a:defRPr>
                </a:pPr>
              </a:p>
            </c:txPr>
            <c:showLegendKey val="0"/>
            <c:showVal val="0"/>
            <c:showCatName val="0"/>
            <c:showSerName val="0"/>
            <c:showPercent val="0"/>
            <c:separator>; </c:separator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categories</c:f>
              <c:strCache>
                <c:ptCount val="3"/>
                <c:pt idx="0">
                  <c:v>1 směna          </c:v>
                </c:pt>
                <c:pt idx="1">
                  <c:v>2 směny          </c:v>
                </c:pt>
                <c:pt idx="2">
                  <c:v>3 směny          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3"/>
                <c:pt idx="0">
                  <c:v>82252.8</c:v>
                </c:pt>
                <c:pt idx="1">
                  <c:v>164505.6</c:v>
                </c:pt>
                <c:pt idx="2">
                  <c:v>246758.4</c:v>
                </c:pt>
              </c:numCache>
            </c:numRef>
          </c:val>
        </c:ser>
        <c:gapWidth val="150"/>
        <c:shape val="box"/>
        <c:axId val="62405976"/>
        <c:axId val="90869163"/>
        <c:axId val="0"/>
      </c:bar3DChart>
      <c:catAx>
        <c:axId val="624059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b="0" lang="sk-SK" sz="900" spc="-1" strike="noStrike">
                <a:solidFill>
                  <a:srgbClr val="595959"/>
                </a:solidFill>
                <a:latin typeface="Calibri"/>
              </a:defRPr>
            </a:pPr>
          </a:p>
        </c:txPr>
        <c:crossAx val="90869163"/>
        <c:crosses val="autoZero"/>
        <c:auto val="1"/>
        <c:lblAlgn val="ctr"/>
        <c:lblOffset val="100"/>
        <c:noMultiLvlLbl val="0"/>
      </c:catAx>
      <c:valAx>
        <c:axId val="90869163"/>
        <c:scaling>
          <c:orientation val="minMax"/>
          <c:max val="250000"/>
        </c:scaling>
        <c:delete val="0"/>
        <c:axPos val="l"/>
        <c:majorGridlines>
          <c:spPr>
            <a:ln w="9360">
              <a:solidFill>
                <a:srgbClr val="f2f2f2"/>
              </a:solidFill>
              <a:round/>
            </a:ln>
          </c:spPr>
        </c:majorGridlines>
        <c:title>
          <c:tx>
            <c:rich>
              <a:bodyPr rot="-5400000"/>
              <a:lstStyle/>
              <a:p>
                <a:pPr>
                  <a:defRPr b="0" lang="cs-CZ" sz="900" spc="-1" strike="noStrike">
                    <a:solidFill>
                      <a:srgbClr val="595959"/>
                    </a:solidFill>
                    <a:latin typeface="Calibri"/>
                  </a:defRPr>
                </a:pPr>
                <a:r>
                  <a:rPr b="0" lang="cs-CZ" sz="900" spc="-1" strike="noStrike">
                    <a:solidFill>
                      <a:srgbClr val="595959"/>
                    </a:solidFill>
                    <a:latin typeface="Calibri"/>
                  </a:rPr>
                  <a:t>Náklady v [Kč]</a:t>
                </a:r>
              </a:p>
            </c:rich>
          </c:tx>
          <c:overlay val="0"/>
          <c:spPr>
            <a:noFill/>
            <a:ln w="0">
              <a:noFill/>
            </a:ln>
          </c:spPr>
        </c:title>
        <c:numFmt formatCode="#,##0.0" sourceLinked="0"/>
        <c:majorTickMark val="none"/>
        <c:minorTickMark val="none"/>
        <c:tickLblPos val="nextTo"/>
        <c:spPr>
          <a:ln w="6480">
            <a:noFill/>
          </a:ln>
        </c:spPr>
        <c:txPr>
          <a:bodyPr/>
          <a:lstStyle/>
          <a:p>
            <a:pPr>
              <a:defRPr b="0" lang="sk-SK" sz="900" spc="-1" strike="noStrike">
                <a:solidFill>
                  <a:srgbClr val="595959"/>
                </a:solidFill>
                <a:latin typeface="Calibri"/>
              </a:defRPr>
            </a:pPr>
          </a:p>
        </c:txPr>
        <c:crossAx val="62405976"/>
        <c:crosses val="autoZero"/>
        <c:crossBetween val="between"/>
        <c:majorUnit val="50000"/>
      </c:valAx>
      <c:dTable>
        <c:showHorzBorder val="1"/>
        <c:showVertBorder val="1"/>
        <c:showOutline val="1"/>
      </c:dTable>
    </c:plotArea>
    <c:plotVisOnly val="1"/>
    <c:dispBlanksAs val="gap"/>
  </c:chart>
  <c:spPr>
    <a:solidFill>
      <a:srgbClr val="ffffff"/>
    </a:solidFill>
    <a:ln w="9360">
      <a:solidFill>
        <a:srgbClr val="d9d9d9"/>
      </a:solidFill>
      <a:round/>
    </a:ln>
  </c:spPr>
</c:chartSpace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6496</TotalTime>
  <Application>LibreOffice/7.0.0.3$Windows_X86_64 LibreOffice_project/8061b3e9204bef6b321a21033174034a5e2ea88e</Application>
  <Pages>5</Pages>
  <Words>975</Words>
  <Characters>6021</Characters>
  <CharactersWithSpaces>6994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2020-05-05T06:52:00Z</dcterms:created>
  <dc:creator>Začal Jaroslav</dc:creator>
  <dc:description/>
  <dc:language>sk-SK</dc:language>
  <cp:lastModifiedBy/>
  <dcterms:modified xsi:type="dcterms:W3CDTF">2020-10-22T08:42:48Z</dcterms:modified>
  <cp:revision>39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